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97" w:rsidRPr="00EA5097" w:rsidRDefault="000B52BC" w:rsidP="00CD5AA3">
      <w:pPr>
        <w:pStyle w:val="Heading1"/>
      </w:pPr>
      <w:r>
        <w:t>Note</w:t>
      </w:r>
      <w:r w:rsidR="00296806">
        <w:t xml:space="preserve"> – Single Item Agenda</w:t>
      </w: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2839"/>
        <w:gridCol w:w="11153"/>
      </w:tblGrid>
      <w:tr w:rsidR="000B52BC" w:rsidTr="00DA075A">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Meeting Date</w:t>
            </w:r>
          </w:p>
        </w:tc>
        <w:tc>
          <w:tcPr>
            <w:tcW w:w="11153" w:type="dxa"/>
          </w:tcPr>
          <w:p w:rsidR="000B52BC" w:rsidRDefault="004054ED" w:rsidP="009F3458">
            <w:pPr>
              <w:spacing w:before="120" w:after="120" w:line="300" w:lineRule="auto"/>
            </w:pPr>
            <w:r w:rsidRPr="001A5397">
              <w:t xml:space="preserve">Thursday </w:t>
            </w:r>
            <w:r>
              <w:t>15 July</w:t>
            </w:r>
            <w:r w:rsidRPr="001A5397">
              <w:t xml:space="preserve"> 2021, 10:30-</w:t>
            </w:r>
            <w:r>
              <w:t>11:30</w:t>
            </w:r>
            <w:r w:rsidR="009F3458">
              <w:t xml:space="preserve"> via video conference</w:t>
            </w:r>
          </w:p>
        </w:tc>
      </w:tr>
      <w:tr w:rsidR="000B52BC" w:rsidTr="00DA075A">
        <w:tc>
          <w:tcPr>
            <w:tcW w:w="2839" w:type="dxa"/>
          </w:tcPr>
          <w:p w:rsidR="000B52BC" w:rsidRPr="0014551F" w:rsidRDefault="000B52BC" w:rsidP="009C47F9">
            <w:pPr>
              <w:spacing w:before="120" w:after="120" w:line="300" w:lineRule="auto"/>
              <w:rPr>
                <w:b/>
                <w:color w:val="404040" w:themeColor="text1" w:themeTint="BF"/>
              </w:rPr>
            </w:pPr>
            <w:r>
              <w:rPr>
                <w:b/>
                <w:color w:val="404040" w:themeColor="text1" w:themeTint="BF"/>
              </w:rPr>
              <w:t>Committee</w:t>
            </w:r>
          </w:p>
        </w:tc>
        <w:tc>
          <w:tcPr>
            <w:tcW w:w="11153" w:type="dxa"/>
          </w:tcPr>
          <w:p w:rsidR="004054ED" w:rsidRDefault="004054ED" w:rsidP="004054ED">
            <w:pPr>
              <w:spacing w:before="60" w:after="60"/>
            </w:pPr>
            <w:r>
              <w:t>Andy Shaw, Chair</w:t>
            </w:r>
          </w:p>
          <w:p w:rsidR="004054ED" w:rsidRDefault="004054ED" w:rsidP="004054ED">
            <w:pPr>
              <w:spacing w:before="60" w:after="60"/>
            </w:pPr>
            <w:r>
              <w:t>Claire Robertson</w:t>
            </w:r>
          </w:p>
          <w:p w:rsidR="000B52BC" w:rsidRDefault="004054ED" w:rsidP="004054ED">
            <w:pPr>
              <w:spacing w:before="60" w:after="60"/>
            </w:pPr>
            <w:r>
              <w:t>David Watt</w:t>
            </w:r>
          </w:p>
        </w:tc>
      </w:tr>
      <w:tr w:rsidR="000B52BC" w:rsidTr="00DA075A">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Attendees</w:t>
            </w:r>
          </w:p>
        </w:tc>
        <w:tc>
          <w:tcPr>
            <w:tcW w:w="11153" w:type="dxa"/>
          </w:tcPr>
          <w:p w:rsidR="000B52BC" w:rsidRDefault="000B52BC" w:rsidP="009C47F9">
            <w:pPr>
              <w:spacing w:before="60" w:after="60"/>
            </w:pPr>
            <w:r>
              <w:t>Ombudsman - Rosemary Agnew</w:t>
            </w:r>
          </w:p>
          <w:p w:rsidR="000B52BC" w:rsidRDefault="000B52BC" w:rsidP="009C47F9">
            <w:pPr>
              <w:spacing w:before="60" w:after="60"/>
            </w:pPr>
            <w:r>
              <w:t>Director - Niki Maclean</w:t>
            </w:r>
          </w:p>
          <w:p w:rsidR="004054ED" w:rsidRDefault="004054ED" w:rsidP="004054ED">
            <w:pPr>
              <w:spacing w:before="60" w:after="60"/>
            </w:pPr>
            <w:r>
              <w:t xml:space="preserve">Head of </w:t>
            </w:r>
            <w:r w:rsidRPr="00871244">
              <w:t>Improvement, Standards and Engagement</w:t>
            </w:r>
            <w:r>
              <w:t xml:space="preserve"> – Andrew </w:t>
            </w:r>
            <w:proofErr w:type="spellStart"/>
            <w:r>
              <w:t>Sherridan</w:t>
            </w:r>
            <w:proofErr w:type="spellEnd"/>
          </w:p>
          <w:p w:rsidR="000B52BC" w:rsidRDefault="000B52BC" w:rsidP="009C47F9">
            <w:pPr>
              <w:spacing w:before="120" w:after="120" w:line="300" w:lineRule="auto"/>
            </w:pPr>
            <w:r>
              <w:t>Corporate Services Manager - Fiona Paterson (note taker)</w:t>
            </w:r>
          </w:p>
        </w:tc>
      </w:tr>
      <w:tr w:rsidR="009F3458" w:rsidTr="00DA075A">
        <w:tc>
          <w:tcPr>
            <w:tcW w:w="2839" w:type="dxa"/>
          </w:tcPr>
          <w:p w:rsidR="009F3458" w:rsidRPr="0014551F" w:rsidRDefault="009F3458" w:rsidP="009C47F9">
            <w:pPr>
              <w:spacing w:before="120" w:after="120" w:line="300" w:lineRule="auto"/>
              <w:rPr>
                <w:b/>
                <w:color w:val="404040" w:themeColor="text1" w:themeTint="BF"/>
              </w:rPr>
            </w:pPr>
            <w:r>
              <w:rPr>
                <w:b/>
                <w:color w:val="404040" w:themeColor="text1" w:themeTint="BF"/>
              </w:rPr>
              <w:t>Observer</w:t>
            </w:r>
          </w:p>
        </w:tc>
        <w:tc>
          <w:tcPr>
            <w:tcW w:w="11153" w:type="dxa"/>
          </w:tcPr>
          <w:p w:rsidR="009F3458" w:rsidRDefault="009F3458" w:rsidP="009F3458">
            <w:pPr>
              <w:spacing w:before="60" w:after="60"/>
            </w:pPr>
            <w:r>
              <w:t>Communications and Engagement Manager - Theresa Valtin</w:t>
            </w:r>
          </w:p>
          <w:p w:rsidR="004054ED" w:rsidRDefault="004054ED" w:rsidP="009F3458">
            <w:pPr>
              <w:spacing w:before="60" w:after="60"/>
            </w:pPr>
            <w:r>
              <w:t>INWO Team Manager – Fran</w:t>
            </w:r>
            <w:r w:rsidR="00270E2C">
              <w:t>cesca</w:t>
            </w:r>
            <w:r>
              <w:t xml:space="preserve"> Richards</w:t>
            </w:r>
          </w:p>
        </w:tc>
      </w:tr>
      <w:tr w:rsidR="000B52BC" w:rsidTr="00DA075A">
        <w:tc>
          <w:tcPr>
            <w:tcW w:w="2839" w:type="dxa"/>
          </w:tcPr>
          <w:p w:rsidR="000B52BC" w:rsidRPr="0014551F" w:rsidRDefault="000B52BC" w:rsidP="009C47F9">
            <w:pPr>
              <w:spacing w:before="120" w:after="120" w:line="300" w:lineRule="auto"/>
              <w:rPr>
                <w:b/>
                <w:color w:val="404040" w:themeColor="text1" w:themeTint="BF"/>
              </w:rPr>
            </w:pPr>
            <w:r w:rsidRPr="0014551F">
              <w:rPr>
                <w:b/>
                <w:color w:val="404040" w:themeColor="text1" w:themeTint="BF"/>
              </w:rPr>
              <w:t>Apologies</w:t>
            </w:r>
          </w:p>
        </w:tc>
        <w:tc>
          <w:tcPr>
            <w:tcW w:w="11153" w:type="dxa"/>
          </w:tcPr>
          <w:p w:rsidR="000B52BC" w:rsidRDefault="004054ED" w:rsidP="009F3458">
            <w:pPr>
              <w:spacing w:before="60" w:after="60"/>
            </w:pPr>
            <w:r>
              <w:t>None</w:t>
            </w:r>
          </w:p>
        </w:tc>
      </w:tr>
    </w:tbl>
    <w:p w:rsidR="00DD43C5" w:rsidRPr="00DD43C5" w:rsidRDefault="00DD43C5" w:rsidP="000D3F33">
      <w:pPr>
        <w:spacing w:before="120" w:after="120" w:line="300" w:lineRule="auto"/>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8363"/>
        <w:gridCol w:w="1276"/>
        <w:gridCol w:w="1134"/>
        <w:gridCol w:w="814"/>
      </w:tblGrid>
      <w:tr w:rsidR="0016777E" w:rsidRPr="009A5A53" w:rsidTr="00DD56EA">
        <w:trPr>
          <w:tblHeader/>
        </w:trPr>
        <w:tc>
          <w:tcPr>
            <w:tcW w:w="704"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Item</w:t>
            </w:r>
          </w:p>
        </w:tc>
        <w:tc>
          <w:tcPr>
            <w:tcW w:w="1701"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Subject</w:t>
            </w:r>
          </w:p>
        </w:tc>
        <w:tc>
          <w:tcPr>
            <w:tcW w:w="8363"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Main points of discussion</w:t>
            </w:r>
          </w:p>
        </w:tc>
        <w:tc>
          <w:tcPr>
            <w:tcW w:w="1276"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Actions agreed</w:t>
            </w:r>
          </w:p>
        </w:tc>
        <w:tc>
          <w:tcPr>
            <w:tcW w:w="1134" w:type="dxa"/>
            <w:shd w:val="clear" w:color="auto" w:fill="9FCFD5"/>
          </w:tcPr>
          <w:p w:rsidR="000B52BC" w:rsidRPr="009A5A53" w:rsidRDefault="000B52BC" w:rsidP="000D3F33">
            <w:pPr>
              <w:spacing w:before="120" w:after="120" w:line="300" w:lineRule="auto"/>
              <w:jc w:val="center"/>
              <w:rPr>
                <w:b/>
                <w:color w:val="000000" w:themeColor="text1"/>
              </w:rPr>
            </w:pPr>
            <w:r w:rsidRPr="009A5A53">
              <w:rPr>
                <w:b/>
                <w:color w:val="000000" w:themeColor="text1"/>
              </w:rPr>
              <w:t>Due</w:t>
            </w:r>
          </w:p>
        </w:tc>
        <w:tc>
          <w:tcPr>
            <w:tcW w:w="814" w:type="dxa"/>
            <w:shd w:val="clear" w:color="auto" w:fill="9FCFD5"/>
          </w:tcPr>
          <w:p w:rsidR="000B52BC" w:rsidRPr="009A5A53" w:rsidRDefault="000B52BC" w:rsidP="009353FE">
            <w:pPr>
              <w:spacing w:before="120" w:after="120" w:line="300" w:lineRule="auto"/>
              <w:jc w:val="center"/>
              <w:rPr>
                <w:b/>
                <w:color w:val="000000" w:themeColor="text1"/>
              </w:rPr>
            </w:pPr>
            <w:r w:rsidRPr="009A5A53">
              <w:rPr>
                <w:b/>
                <w:color w:val="000000" w:themeColor="text1"/>
              </w:rPr>
              <w:t>Lead</w:t>
            </w:r>
          </w:p>
        </w:tc>
      </w:tr>
      <w:tr w:rsidR="0016777E" w:rsidRPr="009A5A53" w:rsidTr="00DD56EA">
        <w:tc>
          <w:tcPr>
            <w:tcW w:w="704" w:type="dxa"/>
          </w:tcPr>
          <w:p w:rsidR="009353FE" w:rsidRDefault="009353FE" w:rsidP="009353FE">
            <w:pPr>
              <w:spacing w:before="120" w:after="120" w:line="300" w:lineRule="auto"/>
              <w:rPr>
                <w:color w:val="000000" w:themeColor="text1"/>
              </w:rPr>
            </w:pPr>
            <w:r>
              <w:rPr>
                <w:color w:val="000000" w:themeColor="text1"/>
              </w:rPr>
              <w:t>1.</w:t>
            </w:r>
          </w:p>
        </w:tc>
        <w:tc>
          <w:tcPr>
            <w:tcW w:w="1701" w:type="dxa"/>
          </w:tcPr>
          <w:p w:rsidR="009353FE" w:rsidRPr="0016518D" w:rsidRDefault="004054ED" w:rsidP="004054ED">
            <w:pPr>
              <w:spacing w:before="120" w:after="120" w:line="300" w:lineRule="auto"/>
              <w:rPr>
                <w:lang w:eastAsia="en-US"/>
              </w:rPr>
            </w:pPr>
            <w:r>
              <w:rPr>
                <w:lang w:eastAsia="en-US"/>
              </w:rPr>
              <w:t>Welcome and declarations of i</w:t>
            </w:r>
            <w:r w:rsidR="009353FE" w:rsidRPr="0016518D">
              <w:rPr>
                <w:lang w:eastAsia="en-US"/>
              </w:rPr>
              <w:t>nterest</w:t>
            </w:r>
          </w:p>
        </w:tc>
        <w:tc>
          <w:tcPr>
            <w:tcW w:w="8363" w:type="dxa"/>
          </w:tcPr>
          <w:p w:rsidR="004054ED" w:rsidRDefault="00C34678" w:rsidP="009F3458">
            <w:pPr>
              <w:spacing w:before="120" w:after="120" w:line="300" w:lineRule="auto"/>
              <w:rPr>
                <w:color w:val="000000" w:themeColor="text1"/>
              </w:rPr>
            </w:pPr>
            <w:r>
              <w:rPr>
                <w:color w:val="000000" w:themeColor="text1"/>
              </w:rPr>
              <w:t xml:space="preserve">1.  </w:t>
            </w:r>
            <w:r w:rsidR="004054ED">
              <w:rPr>
                <w:color w:val="000000" w:themeColor="text1"/>
              </w:rPr>
              <w:t xml:space="preserve">The Chair welcomed </w:t>
            </w:r>
            <w:r w:rsidR="00270E2C">
              <w:rPr>
                <w:color w:val="000000" w:themeColor="text1"/>
              </w:rPr>
              <w:t>Clair</w:t>
            </w:r>
            <w:r w:rsidR="00DD56EA">
              <w:rPr>
                <w:color w:val="000000" w:themeColor="text1"/>
              </w:rPr>
              <w:t>e</w:t>
            </w:r>
            <w:r w:rsidR="00270E2C">
              <w:rPr>
                <w:color w:val="000000" w:themeColor="text1"/>
              </w:rPr>
              <w:t xml:space="preserve"> Robertson, </w:t>
            </w:r>
            <w:r w:rsidR="004054ED">
              <w:rPr>
                <w:color w:val="000000" w:themeColor="text1"/>
              </w:rPr>
              <w:t>the new member of the AAB to this meeting, and invited int</w:t>
            </w:r>
            <w:r w:rsidR="00DD56EA">
              <w:rPr>
                <w:color w:val="000000" w:themeColor="text1"/>
              </w:rPr>
              <w:t>roductions from all attendees.</w:t>
            </w:r>
          </w:p>
          <w:p w:rsidR="009353FE" w:rsidRPr="009A5A53" w:rsidRDefault="004054ED" w:rsidP="004054ED">
            <w:pPr>
              <w:spacing w:before="120" w:after="120" w:line="300" w:lineRule="auto"/>
              <w:rPr>
                <w:color w:val="000000" w:themeColor="text1"/>
              </w:rPr>
            </w:pPr>
            <w:r>
              <w:rPr>
                <w:color w:val="000000" w:themeColor="text1"/>
              </w:rPr>
              <w:t>2.  The Chair asked if there were any d</w:t>
            </w:r>
            <w:r w:rsidR="009F3458">
              <w:rPr>
                <w:color w:val="000000" w:themeColor="text1"/>
              </w:rPr>
              <w:t xml:space="preserve">eclarations of interest </w:t>
            </w:r>
            <w:r>
              <w:rPr>
                <w:color w:val="000000" w:themeColor="text1"/>
              </w:rPr>
              <w:t>not already included on the published registers.  There were none.</w:t>
            </w:r>
          </w:p>
        </w:tc>
        <w:tc>
          <w:tcPr>
            <w:tcW w:w="1276" w:type="dxa"/>
            <w:shd w:val="clear" w:color="auto" w:fill="auto"/>
          </w:tcPr>
          <w:p w:rsidR="009353FE" w:rsidRPr="009A5A53" w:rsidRDefault="009353FE" w:rsidP="00DA075A">
            <w:pPr>
              <w:spacing w:before="120" w:after="120" w:line="300" w:lineRule="auto"/>
              <w:rPr>
                <w:color w:val="000000" w:themeColor="text1"/>
              </w:rPr>
            </w:pPr>
          </w:p>
        </w:tc>
        <w:tc>
          <w:tcPr>
            <w:tcW w:w="1134" w:type="dxa"/>
            <w:shd w:val="clear" w:color="auto" w:fill="auto"/>
          </w:tcPr>
          <w:p w:rsidR="009353FE" w:rsidRPr="009A5A53" w:rsidRDefault="009353FE" w:rsidP="009353FE">
            <w:pPr>
              <w:spacing w:before="120" w:after="120" w:line="300" w:lineRule="auto"/>
              <w:rPr>
                <w:color w:val="000000" w:themeColor="text1"/>
              </w:rPr>
            </w:pPr>
          </w:p>
        </w:tc>
        <w:tc>
          <w:tcPr>
            <w:tcW w:w="814" w:type="dxa"/>
            <w:shd w:val="clear" w:color="auto" w:fill="auto"/>
          </w:tcPr>
          <w:p w:rsidR="009353FE" w:rsidRDefault="009353FE" w:rsidP="0016777E">
            <w:pPr>
              <w:spacing w:before="120" w:after="120" w:line="300" w:lineRule="auto"/>
              <w:rPr>
                <w:color w:val="000000" w:themeColor="text1"/>
              </w:rPr>
            </w:pPr>
          </w:p>
        </w:tc>
      </w:tr>
      <w:tr w:rsidR="0016777E" w:rsidRPr="009A5A53" w:rsidTr="00DD56EA">
        <w:tc>
          <w:tcPr>
            <w:tcW w:w="704" w:type="dxa"/>
          </w:tcPr>
          <w:p w:rsidR="009353FE" w:rsidRPr="009A5A53" w:rsidRDefault="009353FE" w:rsidP="009353FE">
            <w:pPr>
              <w:spacing w:before="120" w:after="120" w:line="300" w:lineRule="auto"/>
              <w:rPr>
                <w:color w:val="000000" w:themeColor="text1"/>
              </w:rPr>
            </w:pPr>
            <w:r w:rsidRPr="009A5A53">
              <w:rPr>
                <w:color w:val="000000" w:themeColor="text1"/>
              </w:rPr>
              <w:t>3.</w:t>
            </w:r>
          </w:p>
        </w:tc>
        <w:tc>
          <w:tcPr>
            <w:tcW w:w="1701" w:type="dxa"/>
            <w:shd w:val="clear" w:color="auto" w:fill="auto"/>
          </w:tcPr>
          <w:p w:rsidR="009353FE" w:rsidRPr="009A5A53" w:rsidRDefault="00DA075A" w:rsidP="004054ED">
            <w:pPr>
              <w:spacing w:before="120" w:after="120" w:line="300" w:lineRule="auto"/>
              <w:rPr>
                <w:color w:val="000000" w:themeColor="text1"/>
              </w:rPr>
            </w:pPr>
            <w:r>
              <w:rPr>
                <w:lang w:eastAsia="en-US"/>
              </w:rPr>
              <w:t xml:space="preserve">Draft </w:t>
            </w:r>
            <w:r w:rsidR="004054ED">
              <w:rPr>
                <w:lang w:eastAsia="en-US"/>
              </w:rPr>
              <w:t>2020-21</w:t>
            </w:r>
            <w:r>
              <w:rPr>
                <w:lang w:eastAsia="en-US"/>
              </w:rPr>
              <w:t xml:space="preserve"> SPSO Annual Report and Accounts</w:t>
            </w:r>
          </w:p>
        </w:tc>
        <w:tc>
          <w:tcPr>
            <w:tcW w:w="8363" w:type="dxa"/>
          </w:tcPr>
          <w:p w:rsidR="004054ED" w:rsidRDefault="00053483" w:rsidP="004054ED">
            <w:pPr>
              <w:spacing w:before="120" w:after="120" w:line="300" w:lineRule="auto"/>
              <w:rPr>
                <w:color w:val="000000" w:themeColor="text1"/>
              </w:rPr>
            </w:pPr>
            <w:r>
              <w:rPr>
                <w:color w:val="000000" w:themeColor="text1"/>
              </w:rPr>
              <w:t xml:space="preserve">1.  </w:t>
            </w:r>
            <w:r w:rsidR="004054ED">
              <w:rPr>
                <w:color w:val="000000" w:themeColor="text1"/>
              </w:rPr>
              <w:t>The Ombudsman acknowledged the work put in to the production of this year’s draft by NM, TV and FP. She provided an update on progress since the draft document was issued to the AAB.  Some initial feedback had been provided by the Auditor at the Audit Closure meeting for the performance section, including clear separation between the Overview and Analysis sections</w:t>
            </w:r>
            <w:r w:rsidR="00270E2C">
              <w:rPr>
                <w:color w:val="000000" w:themeColor="text1"/>
              </w:rPr>
              <w:t>, a statement about EU withdrawal and an explanation of how services are structured</w:t>
            </w:r>
            <w:r w:rsidR="004054ED">
              <w:rPr>
                <w:color w:val="000000" w:themeColor="text1"/>
              </w:rPr>
              <w:t>.</w:t>
            </w:r>
          </w:p>
          <w:p w:rsidR="004054ED" w:rsidRPr="004054ED" w:rsidRDefault="004054ED" w:rsidP="004054ED">
            <w:pPr>
              <w:spacing w:before="120" w:after="120" w:line="300" w:lineRule="auto"/>
              <w:rPr>
                <w:color w:val="000000" w:themeColor="text1"/>
              </w:rPr>
            </w:pPr>
            <w:r>
              <w:rPr>
                <w:color w:val="000000" w:themeColor="text1"/>
              </w:rPr>
              <w:t xml:space="preserve">The Ombudsman highlighted that 8.5% of investigation capacity had been lost in year as a direct consequence of the C-19 pandemic.  She informed the AAB the SPSO will be submitting a business case for additional investigation staff to recover </w:t>
            </w:r>
            <w:r w:rsidR="00270E2C">
              <w:rPr>
                <w:color w:val="000000" w:themeColor="text1"/>
              </w:rPr>
              <w:t xml:space="preserve">from </w:t>
            </w:r>
            <w:r>
              <w:rPr>
                <w:color w:val="000000" w:themeColor="text1"/>
              </w:rPr>
              <w:t>the impact of this loss</w:t>
            </w:r>
            <w:r w:rsidR="00270E2C">
              <w:rPr>
                <w:color w:val="000000" w:themeColor="text1"/>
              </w:rPr>
              <w:t>, to cover for long-term staff absence and in light of the dramatic rise in public service complaints in the first quarter of 2021-22</w:t>
            </w:r>
            <w:r>
              <w:rPr>
                <w:color w:val="000000" w:themeColor="text1"/>
              </w:rPr>
              <w:t>.</w:t>
            </w:r>
          </w:p>
          <w:p w:rsidR="004054ED" w:rsidRDefault="004054ED" w:rsidP="004054ED">
            <w:pPr>
              <w:spacing w:before="120" w:after="120" w:line="300" w:lineRule="auto"/>
              <w:rPr>
                <w:color w:val="000000" w:themeColor="text1"/>
              </w:rPr>
            </w:pPr>
            <w:r>
              <w:rPr>
                <w:color w:val="000000" w:themeColor="text1"/>
              </w:rPr>
              <w:t xml:space="preserve">2.  </w:t>
            </w:r>
            <w:r w:rsidR="00053483">
              <w:rPr>
                <w:color w:val="000000" w:themeColor="text1"/>
              </w:rPr>
              <w:t xml:space="preserve">The </w:t>
            </w:r>
            <w:r w:rsidR="00DA075A">
              <w:rPr>
                <w:color w:val="000000" w:themeColor="text1"/>
              </w:rPr>
              <w:t xml:space="preserve">AAB reviewed the draft </w:t>
            </w:r>
            <w:r w:rsidR="00160256">
              <w:rPr>
                <w:color w:val="000000" w:themeColor="text1"/>
              </w:rPr>
              <w:t>annual</w:t>
            </w:r>
            <w:r w:rsidR="00270E2C">
              <w:rPr>
                <w:color w:val="000000" w:themeColor="text1"/>
              </w:rPr>
              <w:t xml:space="preserve"> report and accounts </w:t>
            </w:r>
            <w:r w:rsidR="00DA075A">
              <w:rPr>
                <w:color w:val="000000" w:themeColor="text1"/>
              </w:rPr>
              <w:t xml:space="preserve">document and provided the Leadership Team with feedback, </w:t>
            </w:r>
            <w:r w:rsidR="00160256">
              <w:rPr>
                <w:color w:val="000000" w:themeColor="text1"/>
              </w:rPr>
              <w:t>recommendations</w:t>
            </w:r>
            <w:r w:rsidR="00DA075A">
              <w:rPr>
                <w:color w:val="000000" w:themeColor="text1"/>
              </w:rPr>
              <w:t xml:space="preserve"> and proofing suggestions</w:t>
            </w:r>
            <w:r w:rsidR="00270E2C">
              <w:rPr>
                <w:color w:val="000000" w:themeColor="text1"/>
              </w:rPr>
              <w:t>, all of which were taken on board</w:t>
            </w:r>
            <w:r w:rsidR="00DD56EA">
              <w:rPr>
                <w:color w:val="000000" w:themeColor="text1"/>
              </w:rPr>
              <w:t>.</w:t>
            </w:r>
          </w:p>
          <w:p w:rsidR="004054ED" w:rsidRDefault="004054ED" w:rsidP="004054ED">
            <w:pPr>
              <w:spacing w:before="120" w:after="120" w:line="300" w:lineRule="auto"/>
              <w:rPr>
                <w:color w:val="000000" w:themeColor="text1"/>
              </w:rPr>
            </w:pPr>
            <w:r>
              <w:rPr>
                <w:color w:val="000000" w:themeColor="text1"/>
              </w:rPr>
              <w:t xml:space="preserve">3.  </w:t>
            </w:r>
            <w:r w:rsidR="00DA075A">
              <w:rPr>
                <w:color w:val="000000" w:themeColor="text1"/>
              </w:rPr>
              <w:t xml:space="preserve">The Leadership Team thanked the AAB for taking the time to provide this very helpful </w:t>
            </w:r>
            <w:r w:rsidR="00270E2C">
              <w:rPr>
                <w:color w:val="000000" w:themeColor="text1"/>
              </w:rPr>
              <w:t xml:space="preserve">and constructive </w:t>
            </w:r>
            <w:r w:rsidR="00DA075A">
              <w:rPr>
                <w:color w:val="000000" w:themeColor="text1"/>
              </w:rPr>
              <w:t>feedback</w:t>
            </w:r>
            <w:r w:rsidR="00270E2C">
              <w:rPr>
                <w:color w:val="000000" w:themeColor="text1"/>
              </w:rPr>
              <w:t xml:space="preserve"> and advice</w:t>
            </w:r>
            <w:r w:rsidR="00DA075A">
              <w:rPr>
                <w:color w:val="000000" w:themeColor="text1"/>
              </w:rPr>
              <w:t>.</w:t>
            </w:r>
          </w:p>
          <w:p w:rsidR="009F3458" w:rsidRPr="004054ED" w:rsidRDefault="004054ED" w:rsidP="004054ED">
            <w:pPr>
              <w:spacing w:before="120" w:after="120" w:line="300" w:lineRule="auto"/>
              <w:rPr>
                <w:color w:val="000000" w:themeColor="text1"/>
              </w:rPr>
            </w:pPr>
            <w:r>
              <w:rPr>
                <w:color w:val="000000" w:themeColor="text1"/>
              </w:rPr>
              <w:t>4.  Next steps:  following receipt of the Auditor’s comments next week, the draft will be updated and issued to the designers for formatting.  The final draft will be provided to the Auditors for the quality assurance check on 23 August, and then issued to the AAB by 9 September, ahead of the 23 September meeting.</w:t>
            </w:r>
          </w:p>
        </w:tc>
        <w:tc>
          <w:tcPr>
            <w:tcW w:w="1276" w:type="dxa"/>
          </w:tcPr>
          <w:p w:rsidR="009353FE" w:rsidRPr="009A5A53" w:rsidRDefault="004054ED" w:rsidP="00DA075A">
            <w:pPr>
              <w:spacing w:before="120" w:after="120" w:line="300" w:lineRule="auto"/>
              <w:rPr>
                <w:color w:val="000000" w:themeColor="text1"/>
              </w:rPr>
            </w:pPr>
            <w:r>
              <w:rPr>
                <w:color w:val="000000" w:themeColor="text1"/>
              </w:rPr>
              <w:t>Final</w:t>
            </w:r>
            <w:r w:rsidR="00DA075A">
              <w:rPr>
                <w:color w:val="000000" w:themeColor="text1"/>
              </w:rPr>
              <w:t xml:space="preserve"> draft for issuing to External Auditors</w:t>
            </w:r>
          </w:p>
        </w:tc>
        <w:tc>
          <w:tcPr>
            <w:tcW w:w="1134" w:type="dxa"/>
          </w:tcPr>
          <w:p w:rsidR="009353FE" w:rsidRPr="009A5A53" w:rsidRDefault="009F3458" w:rsidP="00DD56EA">
            <w:pPr>
              <w:spacing w:before="120" w:after="120" w:line="300" w:lineRule="auto"/>
              <w:rPr>
                <w:color w:val="000000" w:themeColor="text1"/>
              </w:rPr>
            </w:pPr>
            <w:r>
              <w:rPr>
                <w:color w:val="000000" w:themeColor="text1"/>
              </w:rPr>
              <w:t>24</w:t>
            </w:r>
            <w:r w:rsidR="00DD56EA">
              <w:rPr>
                <w:color w:val="000000" w:themeColor="text1"/>
              </w:rPr>
              <w:t>/07/</w:t>
            </w:r>
            <w:r>
              <w:rPr>
                <w:color w:val="000000" w:themeColor="text1"/>
              </w:rPr>
              <w:t>2</w:t>
            </w:r>
            <w:r w:rsidR="00DD56EA">
              <w:rPr>
                <w:color w:val="000000" w:themeColor="text1"/>
              </w:rPr>
              <w:t>1</w:t>
            </w:r>
          </w:p>
        </w:tc>
        <w:tc>
          <w:tcPr>
            <w:tcW w:w="814" w:type="dxa"/>
          </w:tcPr>
          <w:p w:rsidR="009353FE" w:rsidRPr="009A5A53" w:rsidRDefault="00DA075A" w:rsidP="009F3458">
            <w:pPr>
              <w:spacing w:before="120" w:after="120" w:line="300" w:lineRule="auto"/>
              <w:rPr>
                <w:color w:val="000000" w:themeColor="text1"/>
              </w:rPr>
            </w:pPr>
            <w:r>
              <w:rPr>
                <w:color w:val="000000" w:themeColor="text1"/>
              </w:rPr>
              <w:t>RA</w:t>
            </w:r>
            <w:r w:rsidR="009F3458">
              <w:rPr>
                <w:color w:val="000000" w:themeColor="text1"/>
              </w:rPr>
              <w:t>, NM,</w:t>
            </w:r>
            <w:r>
              <w:rPr>
                <w:color w:val="000000" w:themeColor="text1"/>
              </w:rPr>
              <w:t xml:space="preserve"> FP</w:t>
            </w:r>
            <w:r w:rsidR="009F3458">
              <w:rPr>
                <w:color w:val="000000" w:themeColor="text1"/>
              </w:rPr>
              <w:t>, TV</w:t>
            </w:r>
          </w:p>
        </w:tc>
      </w:tr>
    </w:tbl>
    <w:p w:rsidR="00160256" w:rsidRDefault="00160256" w:rsidP="00160256">
      <w:pPr>
        <w:spacing w:before="120" w:after="120" w:line="300" w:lineRule="auto"/>
      </w:pPr>
      <w:r>
        <w:t xml:space="preserve">Approved for publication </w:t>
      </w:r>
      <w:r w:rsidR="00DD56EA">
        <w:t>25</w:t>
      </w:r>
      <w:r>
        <w:t xml:space="preserve"> August</w:t>
      </w:r>
      <w:r w:rsidRPr="00DA5DF0">
        <w:t xml:space="preserve"> 2021</w:t>
      </w:r>
    </w:p>
    <w:p w:rsidR="0068500C" w:rsidRPr="005324A2" w:rsidRDefault="00160256" w:rsidP="00DD56EA">
      <w:pPr>
        <w:spacing w:before="60" w:after="60"/>
        <w:rPr>
          <w:sz w:val="16"/>
          <w:szCs w:val="16"/>
        </w:rPr>
      </w:pPr>
      <w:r w:rsidRPr="00160256">
        <w:rPr>
          <w:b/>
        </w:rPr>
        <w:t>Andy Shaw, Chair</w:t>
      </w:r>
    </w:p>
    <w:sectPr w:rsidR="0068500C" w:rsidRPr="005324A2" w:rsidSect="005324A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27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98" w:rsidRDefault="00C47C98">
      <w:pPr>
        <w:spacing w:line="240" w:lineRule="auto"/>
      </w:pPr>
      <w:r>
        <w:separator/>
      </w:r>
    </w:p>
  </w:endnote>
  <w:endnote w:type="continuationSeparator" w:id="0">
    <w:p w:rsidR="00C47C98" w:rsidRDefault="00C47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91" w:rsidRDefault="00F60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F7487F" w:rsidRDefault="00DD43C5" w:rsidP="00F7487F">
    <w:pPr>
      <w:pStyle w:val="Footer"/>
      <w:tabs>
        <w:tab w:val="clear" w:pos="4153"/>
        <w:tab w:val="clear" w:pos="8306"/>
        <w:tab w:val="center" w:pos="4500"/>
        <w:tab w:val="right" w:pos="9000"/>
      </w:tabs>
      <w:jc w:val="center"/>
      <w:rPr>
        <w:color w:val="63B0BB"/>
        <w:sz w:val="20"/>
      </w:rPr>
    </w:pPr>
    <w:r w:rsidRPr="00F7487F">
      <w:rPr>
        <w:color w:val="63B0BB"/>
        <w:sz w:val="20"/>
      </w:rPr>
      <w:t xml:space="preserve">Page </w:t>
    </w:r>
    <w:r w:rsidRPr="00F7487F">
      <w:rPr>
        <w:b/>
        <w:color w:val="63B0BB"/>
        <w:sz w:val="20"/>
      </w:rPr>
      <w:fldChar w:fldCharType="begin"/>
    </w:r>
    <w:r w:rsidRPr="00F7487F">
      <w:rPr>
        <w:b/>
        <w:color w:val="63B0BB"/>
        <w:sz w:val="20"/>
      </w:rPr>
      <w:instrText xml:space="preserve"> PAGE  \* Arabic  \* MERGEFORMAT </w:instrText>
    </w:r>
    <w:r w:rsidRPr="00F7487F">
      <w:rPr>
        <w:b/>
        <w:color w:val="63B0BB"/>
        <w:sz w:val="20"/>
      </w:rPr>
      <w:fldChar w:fldCharType="separate"/>
    </w:r>
    <w:r w:rsidR="00DD56EA">
      <w:rPr>
        <w:b/>
        <w:noProof/>
        <w:color w:val="63B0BB"/>
        <w:sz w:val="20"/>
      </w:rPr>
      <w:t>2</w:t>
    </w:r>
    <w:r w:rsidRPr="00F7487F">
      <w:rPr>
        <w:b/>
        <w:color w:val="63B0BB"/>
        <w:sz w:val="20"/>
      </w:rPr>
      <w:fldChar w:fldCharType="end"/>
    </w:r>
    <w:r w:rsidRPr="00F7487F">
      <w:rPr>
        <w:color w:val="63B0BB"/>
        <w:sz w:val="20"/>
      </w:rPr>
      <w:t xml:space="preserve"> of </w:t>
    </w:r>
    <w:r w:rsidRPr="00F7487F">
      <w:rPr>
        <w:b/>
        <w:color w:val="63B0BB"/>
        <w:sz w:val="20"/>
      </w:rPr>
      <w:fldChar w:fldCharType="begin"/>
    </w:r>
    <w:r w:rsidRPr="00F7487F">
      <w:rPr>
        <w:b/>
        <w:color w:val="63B0BB"/>
        <w:sz w:val="20"/>
      </w:rPr>
      <w:instrText xml:space="preserve"> NUMPAGES  \* Arabic  \* MERGEFORMAT </w:instrText>
    </w:r>
    <w:r w:rsidRPr="00F7487F">
      <w:rPr>
        <w:b/>
        <w:color w:val="63B0BB"/>
        <w:sz w:val="20"/>
      </w:rPr>
      <w:fldChar w:fldCharType="separate"/>
    </w:r>
    <w:r w:rsidR="00DD56EA">
      <w:rPr>
        <w:b/>
        <w:noProof/>
        <w:color w:val="63B0BB"/>
        <w:sz w:val="20"/>
      </w:rPr>
      <w:t>2</w:t>
    </w:r>
    <w:r w:rsidRPr="00F7487F">
      <w:rPr>
        <w:b/>
        <w:color w:val="63B0B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7F" w:rsidRPr="004E7229" w:rsidRDefault="00F7487F" w:rsidP="00F7487F">
    <w:pPr>
      <w:pStyle w:val="Footer"/>
      <w:tabs>
        <w:tab w:val="clear" w:pos="4153"/>
        <w:tab w:val="clear" w:pos="8306"/>
        <w:tab w:val="center" w:pos="4500"/>
        <w:tab w:val="right" w:pos="9000"/>
      </w:tabs>
      <w:jc w:val="center"/>
      <w:rPr>
        <w:color w:val="000000" w:themeColor="text1"/>
        <w:sz w:val="20"/>
      </w:rPr>
    </w:pPr>
    <w:r w:rsidRPr="004E7229">
      <w:rPr>
        <w:color w:val="000000" w:themeColor="text1"/>
        <w:sz w:val="20"/>
      </w:rPr>
      <w:t xml:space="preserve">Page </w:t>
    </w:r>
    <w:r w:rsidRPr="004E7229">
      <w:rPr>
        <w:b/>
        <w:color w:val="000000" w:themeColor="text1"/>
        <w:sz w:val="20"/>
      </w:rPr>
      <w:fldChar w:fldCharType="begin"/>
    </w:r>
    <w:r w:rsidRPr="004E7229">
      <w:rPr>
        <w:b/>
        <w:color w:val="000000" w:themeColor="text1"/>
        <w:sz w:val="20"/>
      </w:rPr>
      <w:instrText xml:space="preserve"> PAGE  \* Arabic  \* MERGEFORMAT </w:instrText>
    </w:r>
    <w:r w:rsidRPr="004E7229">
      <w:rPr>
        <w:b/>
        <w:color w:val="000000" w:themeColor="text1"/>
        <w:sz w:val="20"/>
      </w:rPr>
      <w:fldChar w:fldCharType="separate"/>
    </w:r>
    <w:r w:rsidR="00DD56EA">
      <w:rPr>
        <w:b/>
        <w:noProof/>
        <w:color w:val="000000" w:themeColor="text1"/>
        <w:sz w:val="20"/>
      </w:rPr>
      <w:t>1</w:t>
    </w:r>
    <w:r w:rsidRPr="004E7229">
      <w:rPr>
        <w:b/>
        <w:color w:val="000000" w:themeColor="text1"/>
        <w:sz w:val="20"/>
      </w:rPr>
      <w:fldChar w:fldCharType="end"/>
    </w:r>
    <w:r w:rsidRPr="004E7229">
      <w:rPr>
        <w:color w:val="000000" w:themeColor="text1"/>
        <w:sz w:val="20"/>
      </w:rPr>
      <w:t xml:space="preserve"> of </w:t>
    </w:r>
    <w:r w:rsidRPr="004E7229">
      <w:rPr>
        <w:b/>
        <w:color w:val="000000" w:themeColor="text1"/>
        <w:sz w:val="20"/>
      </w:rPr>
      <w:fldChar w:fldCharType="begin"/>
    </w:r>
    <w:r w:rsidRPr="004E7229">
      <w:rPr>
        <w:b/>
        <w:color w:val="000000" w:themeColor="text1"/>
        <w:sz w:val="20"/>
      </w:rPr>
      <w:instrText xml:space="preserve"> NUMPAGES  \* Arabic  \* MERGEFORMAT </w:instrText>
    </w:r>
    <w:r w:rsidRPr="004E7229">
      <w:rPr>
        <w:b/>
        <w:color w:val="000000" w:themeColor="text1"/>
        <w:sz w:val="20"/>
      </w:rPr>
      <w:fldChar w:fldCharType="separate"/>
    </w:r>
    <w:r w:rsidR="00DD56EA">
      <w:rPr>
        <w:b/>
        <w:noProof/>
        <w:color w:val="000000" w:themeColor="text1"/>
        <w:sz w:val="20"/>
      </w:rPr>
      <w:t>2</w:t>
    </w:r>
    <w:r w:rsidRPr="004E7229">
      <w:rPr>
        <w:b/>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98" w:rsidRDefault="00C47C98">
      <w:pPr>
        <w:spacing w:line="240" w:lineRule="auto"/>
      </w:pPr>
      <w:r>
        <w:separator/>
      </w:r>
    </w:p>
  </w:footnote>
  <w:footnote w:type="continuationSeparator" w:id="0">
    <w:p w:rsidR="00C47C98" w:rsidRDefault="00C47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91" w:rsidRDefault="00F6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AF1FD6" w:rsidP="00AF1FD6">
    <w:pPr>
      <w:pStyle w:val="Header"/>
      <w:tabs>
        <w:tab w:val="clear" w:pos="4153"/>
        <w:tab w:val="clear" w:pos="8306"/>
        <w:tab w:val="center" w:pos="4500"/>
        <w:tab w:val="right" w:pos="9000"/>
      </w:tabs>
      <w:jc w:val="right"/>
      <w:rPr>
        <w:sz w:val="20"/>
      </w:rPr>
    </w:pPr>
    <w:r>
      <w:rPr>
        <w:noProof/>
      </w:rPr>
      <w:drawing>
        <wp:anchor distT="0" distB="0" distL="114300" distR="114300" simplePos="0" relativeHeight="251661312" behindDoc="1" locked="0" layoutInCell="1" allowOverlap="1" wp14:anchorId="654F9D55" wp14:editId="60CF2B62">
          <wp:simplePos x="0" y="0"/>
          <wp:positionH relativeFrom="margin">
            <wp:align>right</wp:align>
          </wp:positionH>
          <wp:positionV relativeFrom="page">
            <wp:posOffset>180340</wp:posOffset>
          </wp:positionV>
          <wp:extent cx="673200" cy="48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header.eps"/>
                  <pic:cNvPicPr/>
                </pic:nvPicPr>
                <pic:blipFill>
                  <a:blip r:embed="rId1">
                    <a:extLst>
                      <a:ext uri="{28A0092B-C50C-407E-A947-70E740481C1C}">
                        <a14:useLocalDpi xmlns:a14="http://schemas.microsoft.com/office/drawing/2010/main" val="0"/>
                      </a:ext>
                    </a:extLst>
                  </a:blip>
                  <a:stretch>
                    <a:fillRect/>
                  </a:stretch>
                </pic:blipFill>
                <pic:spPr>
                  <a:xfrm>
                    <a:off x="0" y="0"/>
                    <a:ext cx="673200" cy="4824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D6" w:rsidRPr="00F60591" w:rsidRDefault="00AF1FD6">
    <w:pPr>
      <w:pStyle w:val="Header"/>
      <w:rPr>
        <w:sz w:val="20"/>
        <w:szCs w:val="20"/>
      </w:rPr>
    </w:pPr>
    <w:r w:rsidRPr="00F60591">
      <w:rPr>
        <w:rFonts w:ascii="Calibri" w:eastAsia="Times New Roman" w:hAnsi="Calibri" w:cs="Times New Roman"/>
        <w:noProof/>
        <w:color w:val="auto"/>
        <w:sz w:val="20"/>
        <w:szCs w:val="20"/>
      </w:rPr>
      <w:drawing>
        <wp:anchor distT="0" distB="0" distL="114300" distR="114300" simplePos="0" relativeHeight="251659264" behindDoc="0" locked="0" layoutInCell="1" allowOverlap="1" wp14:anchorId="37E818E7" wp14:editId="31318A99">
          <wp:simplePos x="0" y="0"/>
          <wp:positionH relativeFrom="margin">
            <wp:align>right</wp:align>
          </wp:positionH>
          <wp:positionV relativeFrom="page">
            <wp:posOffset>180340</wp:posOffset>
          </wp:positionV>
          <wp:extent cx="1706400" cy="11448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1144800"/>
                  </a:xfrm>
                  <a:prstGeom prst="rect">
                    <a:avLst/>
                  </a:prstGeom>
                  <a:noFill/>
                </pic:spPr>
              </pic:pic>
            </a:graphicData>
          </a:graphic>
          <wp14:sizeRelH relativeFrom="margin">
            <wp14:pctWidth>0</wp14:pctWidth>
          </wp14:sizeRelH>
          <wp14:sizeRelV relativeFrom="margin">
            <wp14:pctHeight>0</wp14:pctHeight>
          </wp14:sizeRelV>
        </wp:anchor>
      </w:drawing>
    </w:r>
    <w:r w:rsidR="000B52BC" w:rsidRPr="00F60591">
      <w:rPr>
        <w:sz w:val="20"/>
        <w:szCs w:val="20"/>
      </w:rPr>
      <w:t>Paper 2  Advisory Audit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5326D8"/>
    <w:multiLevelType w:val="hybridMultilevel"/>
    <w:tmpl w:val="E696C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C380B"/>
    <w:multiLevelType w:val="multilevel"/>
    <w:tmpl w:val="69D8F934"/>
    <w:styleLink w:val="RA"/>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3" w15:restartNumberingAfterBreak="0">
    <w:nsid w:val="32831B85"/>
    <w:multiLevelType w:val="hybridMultilevel"/>
    <w:tmpl w:val="C64C0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42F0E"/>
    <w:multiLevelType w:val="multilevel"/>
    <w:tmpl w:val="69D8F934"/>
    <w:numStyleLink w:val="RA"/>
  </w:abstractNum>
  <w:abstractNum w:abstractNumId="5" w15:restartNumberingAfterBreak="0">
    <w:nsid w:val="62ED6AFD"/>
    <w:multiLevelType w:val="multilevel"/>
    <w:tmpl w:val="69D8F934"/>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6" w15:restartNumberingAfterBreak="0">
    <w:nsid w:val="652C1161"/>
    <w:multiLevelType w:val="singleLevel"/>
    <w:tmpl w:val="03D45AD8"/>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2"/>
  </w:num>
  <w:num w:numId="6">
    <w:abstractNumId w:val="2"/>
  </w:num>
  <w:num w:numId="7">
    <w:abstractNumId w:val="6"/>
  </w:num>
  <w:num w:numId="8">
    <w:abstractNumId w:val="6"/>
  </w:num>
  <w:num w:numId="9">
    <w:abstractNumId w:val="6"/>
  </w:num>
  <w:num w:numId="10">
    <w:abstractNumId w:val="2"/>
  </w:num>
  <w:num w:numId="11">
    <w:abstractNumId w:val="6"/>
  </w:num>
  <w:num w:numId="12">
    <w:abstractNumId w:val="6"/>
  </w:num>
  <w:num w:numId="13">
    <w:abstractNumId w:val="2"/>
  </w:num>
  <w:num w:numId="14">
    <w:abstractNumId w:val="2"/>
  </w:num>
  <w:num w:numId="15">
    <w:abstractNumId w:val="2"/>
  </w:num>
  <w:num w:numId="16">
    <w:abstractNumId w:val="4"/>
  </w:num>
  <w:num w:numId="17">
    <w:abstractNumId w:val="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A6"/>
    <w:rsid w:val="000022C9"/>
    <w:rsid w:val="00053483"/>
    <w:rsid w:val="000B52BC"/>
    <w:rsid w:val="000D3F33"/>
    <w:rsid w:val="00100021"/>
    <w:rsid w:val="001267F7"/>
    <w:rsid w:val="00157346"/>
    <w:rsid w:val="00160256"/>
    <w:rsid w:val="00166750"/>
    <w:rsid w:val="0016777E"/>
    <w:rsid w:val="00177F65"/>
    <w:rsid w:val="00186121"/>
    <w:rsid w:val="00192DC7"/>
    <w:rsid w:val="001A7193"/>
    <w:rsid w:val="001C319B"/>
    <w:rsid w:val="001D53AD"/>
    <w:rsid w:val="001E3D19"/>
    <w:rsid w:val="00270E2C"/>
    <w:rsid w:val="0027190E"/>
    <w:rsid w:val="00272D69"/>
    <w:rsid w:val="00296806"/>
    <w:rsid w:val="002D45B2"/>
    <w:rsid w:val="002F3688"/>
    <w:rsid w:val="00335285"/>
    <w:rsid w:val="00344DC0"/>
    <w:rsid w:val="00364E3F"/>
    <w:rsid w:val="003F2479"/>
    <w:rsid w:val="004054ED"/>
    <w:rsid w:val="00411FC4"/>
    <w:rsid w:val="004244A0"/>
    <w:rsid w:val="00477B14"/>
    <w:rsid w:val="0049304D"/>
    <w:rsid w:val="004E7229"/>
    <w:rsid w:val="004F15F9"/>
    <w:rsid w:val="004F6A87"/>
    <w:rsid w:val="00522B27"/>
    <w:rsid w:val="005324A2"/>
    <w:rsid w:val="005646D0"/>
    <w:rsid w:val="005A6095"/>
    <w:rsid w:val="006261D9"/>
    <w:rsid w:val="00641769"/>
    <w:rsid w:val="0067486A"/>
    <w:rsid w:val="0068500C"/>
    <w:rsid w:val="00690FB6"/>
    <w:rsid w:val="006D26F7"/>
    <w:rsid w:val="006E7110"/>
    <w:rsid w:val="0071021C"/>
    <w:rsid w:val="007211EE"/>
    <w:rsid w:val="00742E6D"/>
    <w:rsid w:val="00750561"/>
    <w:rsid w:val="007739BE"/>
    <w:rsid w:val="007B4DC3"/>
    <w:rsid w:val="008217CF"/>
    <w:rsid w:val="00833FC9"/>
    <w:rsid w:val="00867C3B"/>
    <w:rsid w:val="0088483D"/>
    <w:rsid w:val="00892055"/>
    <w:rsid w:val="009353FE"/>
    <w:rsid w:val="009420BB"/>
    <w:rsid w:val="00943F95"/>
    <w:rsid w:val="009506E6"/>
    <w:rsid w:val="00952710"/>
    <w:rsid w:val="00996CC2"/>
    <w:rsid w:val="009A5A53"/>
    <w:rsid w:val="009F3458"/>
    <w:rsid w:val="009F71B8"/>
    <w:rsid w:val="00A32EA5"/>
    <w:rsid w:val="00A56EBA"/>
    <w:rsid w:val="00A90A53"/>
    <w:rsid w:val="00AB54FF"/>
    <w:rsid w:val="00AC310B"/>
    <w:rsid w:val="00AC5B2B"/>
    <w:rsid w:val="00AD1409"/>
    <w:rsid w:val="00AE01CB"/>
    <w:rsid w:val="00AF1FD6"/>
    <w:rsid w:val="00B970D5"/>
    <w:rsid w:val="00BF7F2F"/>
    <w:rsid w:val="00C34678"/>
    <w:rsid w:val="00C47C98"/>
    <w:rsid w:val="00C47FB7"/>
    <w:rsid w:val="00C6603C"/>
    <w:rsid w:val="00C73877"/>
    <w:rsid w:val="00C86FBA"/>
    <w:rsid w:val="00CD5AA3"/>
    <w:rsid w:val="00D32FE0"/>
    <w:rsid w:val="00D42BA6"/>
    <w:rsid w:val="00DA075A"/>
    <w:rsid w:val="00DB6FBE"/>
    <w:rsid w:val="00DD43C5"/>
    <w:rsid w:val="00DD56EA"/>
    <w:rsid w:val="00DE2813"/>
    <w:rsid w:val="00E3477B"/>
    <w:rsid w:val="00E3599D"/>
    <w:rsid w:val="00E36759"/>
    <w:rsid w:val="00E8567A"/>
    <w:rsid w:val="00EA11EF"/>
    <w:rsid w:val="00EA5097"/>
    <w:rsid w:val="00EF2FEA"/>
    <w:rsid w:val="00F01D19"/>
    <w:rsid w:val="00F534E9"/>
    <w:rsid w:val="00F54947"/>
    <w:rsid w:val="00F60591"/>
    <w:rsid w:val="00F7487F"/>
    <w:rsid w:val="00FE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9794D"/>
  <w15:docId w15:val="{0639F07C-F454-4D9D-95D4-AA60E95A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C5"/>
    <w:pPr>
      <w:spacing w:after="160"/>
    </w:pPr>
    <w:rPr>
      <w:rFonts w:ascii="Arial" w:hAnsi="Arial" w:cs="Arial"/>
      <w:color w:val="000000"/>
      <w:szCs w:val="24"/>
    </w:rPr>
  </w:style>
  <w:style w:type="paragraph" w:styleId="Heading1">
    <w:name w:val="heading 1"/>
    <w:basedOn w:val="Normal"/>
    <w:next w:val="Normal"/>
    <w:link w:val="Heading1Char"/>
    <w:uiPriority w:val="9"/>
    <w:qFormat/>
    <w:rsid w:val="00EF2FEA"/>
    <w:pPr>
      <w:pBdr>
        <w:bottom w:val="single" w:sz="4" w:space="1" w:color="auto"/>
      </w:pBdr>
      <w:spacing w:before="240" w:after="240" w:line="240" w:lineRule="auto"/>
      <w:outlineLvl w:val="0"/>
    </w:pPr>
    <w:rPr>
      <w:b/>
      <w:color w:val="4D4D4F"/>
      <w:sz w:val="28"/>
      <w:szCs w:val="28"/>
    </w:rPr>
  </w:style>
  <w:style w:type="paragraph" w:styleId="Heading2">
    <w:name w:val="heading 2"/>
    <w:basedOn w:val="Normal"/>
    <w:next w:val="Normal"/>
    <w:link w:val="Heading2Char"/>
    <w:uiPriority w:val="9"/>
    <w:qFormat/>
    <w:rsid w:val="00EF2FEA"/>
    <w:pPr>
      <w:spacing w:line="240" w:lineRule="auto"/>
      <w:outlineLvl w:val="1"/>
    </w:pPr>
    <w:rPr>
      <w:b/>
      <w:color w:val="auto"/>
      <w:sz w:val="24"/>
    </w:rPr>
  </w:style>
  <w:style w:type="paragraph" w:styleId="Heading3">
    <w:name w:val="heading 3"/>
    <w:basedOn w:val="Normal"/>
    <w:next w:val="Normal"/>
    <w:link w:val="Heading3Char"/>
    <w:uiPriority w:val="9"/>
    <w:qFormat/>
    <w:rsid w:val="00EF2FEA"/>
    <w:pPr>
      <w:spacing w:after="120" w:line="240" w:lineRule="auto"/>
      <w:outlineLvl w:val="2"/>
    </w:pPr>
    <w:rPr>
      <w:i/>
      <w:color w:val="auto"/>
    </w:rPr>
  </w:style>
  <w:style w:type="paragraph" w:styleId="Heading4">
    <w:name w:val="heading 4"/>
    <w:basedOn w:val="Normal"/>
    <w:next w:val="Normal"/>
    <w:link w:val="Heading4Char"/>
    <w:uiPriority w:val="9"/>
    <w:qFormat/>
    <w:rsid w:val="00EF2FEA"/>
    <w:pPr>
      <w:keepNext/>
      <w:keepLines/>
      <w:spacing w:after="120"/>
      <w:outlineLvl w:val="3"/>
    </w:pPr>
    <w:rPr>
      <w:rFonts w:eastAsiaTheme="majorEastAsia" w:cstheme="majorBidi"/>
      <w:bCs/>
      <w:iCs/>
      <w:u w:val="single"/>
    </w:rPr>
  </w:style>
  <w:style w:type="paragraph" w:styleId="Heading5">
    <w:name w:val="heading 5"/>
    <w:basedOn w:val="NoSpacing"/>
    <w:next w:val="Normal"/>
    <w:link w:val="Heading5Char"/>
    <w:uiPriority w:val="9"/>
    <w:unhideWhenUsed/>
    <w:qFormat/>
    <w:rsid w:val="00EF2FEA"/>
    <w:pPr>
      <w:outlineLvl w:val="4"/>
    </w:pPr>
    <w:rPr>
      <w:rFonts w:ascii="Arial Black" w:hAnsi="Arial Black"/>
      <w:color w:val="243C75" w:themeColor="accent4" w:themeShade="80"/>
    </w:rPr>
  </w:style>
  <w:style w:type="paragraph" w:styleId="Heading6">
    <w:name w:val="heading 6"/>
    <w:basedOn w:val="Normal"/>
    <w:next w:val="Normal"/>
    <w:link w:val="Heading6Char"/>
    <w:uiPriority w:val="9"/>
    <w:unhideWhenUsed/>
    <w:qFormat/>
    <w:rsid w:val="00EF2FEA"/>
    <w:pPr>
      <w:outlineLvl w:val="5"/>
    </w:pPr>
    <w:rPr>
      <w:i/>
      <w:color w:val="243C75"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qFormat/>
    <w:rsid w:val="00186121"/>
    <w:pPr>
      <w:numPr>
        <w:numId w:val="12"/>
      </w:numPr>
      <w:tabs>
        <w:tab w:val="left" w:pos="1800"/>
        <w:tab w:val="left" w:pos="3240"/>
      </w:tabs>
      <w:spacing w:after="12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EF2FEA"/>
    <w:pPr>
      <w:tabs>
        <w:tab w:val="center" w:pos="4153"/>
        <w:tab w:val="right" w:pos="8306"/>
      </w:tabs>
    </w:pPr>
  </w:style>
  <w:style w:type="paragraph" w:styleId="Footer">
    <w:name w:val="footer"/>
    <w:basedOn w:val="Normal"/>
    <w:rsid w:val="00EF2FEA"/>
    <w:pPr>
      <w:tabs>
        <w:tab w:val="center" w:pos="4153"/>
        <w:tab w:val="right" w:pos="8306"/>
      </w:tabs>
    </w:pPr>
  </w:style>
  <w:style w:type="character" w:customStyle="1" w:styleId="Heading1Char">
    <w:name w:val="Heading 1 Char"/>
    <w:basedOn w:val="DefaultParagraphFont"/>
    <w:link w:val="Heading1"/>
    <w:uiPriority w:val="9"/>
    <w:rsid w:val="00EF2FEA"/>
    <w:rPr>
      <w:rFonts w:ascii="Arial" w:hAnsi="Arial" w:cs="Arial"/>
      <w:b/>
      <w:color w:val="4D4D4F"/>
      <w:sz w:val="28"/>
      <w:szCs w:val="28"/>
    </w:rPr>
  </w:style>
  <w:style w:type="character" w:customStyle="1" w:styleId="Heading2Char">
    <w:name w:val="Heading 2 Char"/>
    <w:basedOn w:val="DefaultParagraphFont"/>
    <w:link w:val="Heading2"/>
    <w:uiPriority w:val="9"/>
    <w:rsid w:val="00EF2FEA"/>
    <w:rPr>
      <w:rFonts w:ascii="Arial" w:hAnsi="Arial" w:cs="Arial"/>
      <w:b/>
      <w:sz w:val="24"/>
      <w:szCs w:val="24"/>
    </w:rPr>
  </w:style>
  <w:style w:type="character" w:customStyle="1" w:styleId="Heading3Char">
    <w:name w:val="Heading 3 Char"/>
    <w:basedOn w:val="DefaultParagraphFont"/>
    <w:link w:val="Heading3"/>
    <w:uiPriority w:val="9"/>
    <w:rsid w:val="00EF2FEA"/>
    <w:rPr>
      <w:rFonts w:ascii="Arial" w:hAnsi="Arial" w:cs="Arial"/>
      <w:i/>
      <w:szCs w:val="24"/>
    </w:rPr>
  </w:style>
  <w:style w:type="character" w:customStyle="1" w:styleId="Heading4Char">
    <w:name w:val="Heading 4 Char"/>
    <w:basedOn w:val="DefaultParagraphFont"/>
    <w:link w:val="Heading4"/>
    <w:uiPriority w:val="9"/>
    <w:rsid w:val="00EF2FEA"/>
    <w:rPr>
      <w:rFonts w:ascii="Arial" w:eastAsiaTheme="majorEastAsia" w:hAnsi="Arial" w:cstheme="majorBidi"/>
      <w:bCs/>
      <w:iCs/>
      <w:color w:val="000000"/>
      <w:szCs w:val="24"/>
      <w:u w:val="single"/>
    </w:rPr>
  </w:style>
  <w:style w:type="character" w:customStyle="1" w:styleId="Heading5Char">
    <w:name w:val="Heading 5 Char"/>
    <w:basedOn w:val="DefaultParagraphFont"/>
    <w:link w:val="Heading5"/>
    <w:uiPriority w:val="9"/>
    <w:rsid w:val="00EF2FEA"/>
    <w:rPr>
      <w:rFonts w:ascii="Arial Black" w:hAnsi="Arial Black" w:cs="Arial"/>
      <w:color w:val="243C75" w:themeColor="accent4" w:themeShade="80"/>
      <w:szCs w:val="24"/>
    </w:rPr>
  </w:style>
  <w:style w:type="paragraph" w:styleId="Title">
    <w:name w:val="Title"/>
    <w:aliases w:val="Cover title"/>
    <w:basedOn w:val="Normal"/>
    <w:next w:val="Normal"/>
    <w:link w:val="TitleChar"/>
    <w:uiPriority w:val="10"/>
    <w:qFormat/>
    <w:rsid w:val="00EF2FEA"/>
    <w:rPr>
      <w:b/>
      <w:color w:val="243C75" w:themeColor="accent4" w:themeShade="80"/>
      <w:sz w:val="44"/>
      <w:szCs w:val="44"/>
    </w:rPr>
  </w:style>
  <w:style w:type="character" w:customStyle="1" w:styleId="TitleChar">
    <w:name w:val="Title Char"/>
    <w:aliases w:val="Cover title Char"/>
    <w:basedOn w:val="DefaultParagraphFont"/>
    <w:link w:val="Title"/>
    <w:uiPriority w:val="10"/>
    <w:rsid w:val="00EF2FEA"/>
    <w:rPr>
      <w:rFonts w:ascii="Arial" w:hAnsi="Arial" w:cs="Arial"/>
      <w:b/>
      <w:color w:val="243C75" w:themeColor="accent4" w:themeShade="80"/>
      <w:sz w:val="44"/>
      <w:szCs w:val="44"/>
    </w:rPr>
  </w:style>
  <w:style w:type="paragraph" w:customStyle="1" w:styleId="Sectiontitle">
    <w:name w:val="Section title"/>
    <w:basedOn w:val="Subtitle"/>
    <w:next w:val="Normal"/>
    <w:uiPriority w:val="11"/>
    <w:qFormat/>
    <w:rsid w:val="00186121"/>
    <w:rPr>
      <w:sz w:val="32"/>
      <w:szCs w:val="32"/>
    </w:rPr>
  </w:style>
  <w:style w:type="paragraph" w:styleId="NoSpacing">
    <w:name w:val="No Spacing"/>
    <w:uiPriority w:val="1"/>
    <w:qFormat/>
    <w:rsid w:val="00EF2FEA"/>
    <w:pPr>
      <w:spacing w:after="160" w:line="240" w:lineRule="auto"/>
    </w:pPr>
    <w:rPr>
      <w:rFonts w:ascii="Arial" w:hAnsi="Arial" w:cs="Arial"/>
      <w:color w:val="000000"/>
      <w:szCs w:val="24"/>
    </w:rPr>
  </w:style>
  <w:style w:type="paragraph" w:styleId="ListParagraph">
    <w:name w:val="List Paragraph"/>
    <w:basedOn w:val="Normal"/>
    <w:uiPriority w:val="34"/>
    <w:qFormat/>
    <w:rsid w:val="00EF2FEA"/>
    <w:pPr>
      <w:ind w:left="720"/>
    </w:pPr>
  </w:style>
  <w:style w:type="paragraph" w:styleId="Subtitle">
    <w:name w:val="Subtitle"/>
    <w:basedOn w:val="Normal"/>
    <w:next w:val="Normal"/>
    <w:link w:val="SubtitleChar"/>
    <w:uiPriority w:val="11"/>
    <w:qFormat/>
    <w:rsid w:val="00EF2FEA"/>
    <w:pPr>
      <w:numPr>
        <w:ilvl w:val="1"/>
      </w:numPr>
    </w:pPr>
    <w:rPr>
      <w:rFonts w:eastAsiaTheme="majorEastAsia" w:cstheme="majorBidi"/>
      <w:b/>
      <w:iCs/>
      <w:color w:val="002060"/>
      <w:sz w:val="28"/>
    </w:rPr>
  </w:style>
  <w:style w:type="character" w:customStyle="1" w:styleId="SubtitleChar">
    <w:name w:val="Subtitle Char"/>
    <w:basedOn w:val="DefaultParagraphFont"/>
    <w:link w:val="Subtitle"/>
    <w:uiPriority w:val="11"/>
    <w:rsid w:val="00EF2FEA"/>
    <w:rPr>
      <w:rFonts w:ascii="Arial" w:eastAsiaTheme="majorEastAsia" w:hAnsi="Arial" w:cstheme="majorBidi"/>
      <w:b/>
      <w:iCs/>
      <w:color w:val="002060"/>
      <w:sz w:val="28"/>
      <w:szCs w:val="24"/>
    </w:rPr>
  </w:style>
  <w:style w:type="paragraph" w:styleId="CommentText">
    <w:name w:val="annotation text"/>
    <w:basedOn w:val="Normal"/>
    <w:link w:val="CommentTextChar"/>
    <w:qFormat/>
    <w:rsid w:val="00272D69"/>
    <w:pPr>
      <w:spacing w:after="80" w:line="240" w:lineRule="auto"/>
    </w:pPr>
    <w:rPr>
      <w:rFonts w:cstheme="minorBidi"/>
      <w:color w:val="auto"/>
      <w:sz w:val="18"/>
      <w:szCs w:val="22"/>
      <w:lang w:eastAsia="en-US"/>
    </w:rPr>
  </w:style>
  <w:style w:type="character" w:customStyle="1" w:styleId="CommentTextChar">
    <w:name w:val="Comment Text Char"/>
    <w:basedOn w:val="DefaultParagraphFont"/>
    <w:link w:val="CommentText"/>
    <w:rsid w:val="00272D69"/>
    <w:rPr>
      <w:rFonts w:ascii="Arial" w:hAnsi="Arial"/>
      <w:sz w:val="18"/>
      <w:lang w:eastAsia="en-US"/>
    </w:rPr>
  </w:style>
  <w:style w:type="paragraph" w:styleId="FootnoteText">
    <w:name w:val="footnote text"/>
    <w:basedOn w:val="Normal"/>
    <w:link w:val="FootnoteTextChar"/>
    <w:qFormat/>
    <w:rsid w:val="00186121"/>
    <w:pPr>
      <w:spacing w:after="80" w:line="240" w:lineRule="auto"/>
    </w:pPr>
    <w:rPr>
      <w:color w:val="auto"/>
      <w:sz w:val="18"/>
      <w:szCs w:val="20"/>
    </w:rPr>
  </w:style>
  <w:style w:type="character" w:customStyle="1" w:styleId="FootnoteTextChar">
    <w:name w:val="Footnote Text Char"/>
    <w:basedOn w:val="DefaultParagraphFont"/>
    <w:link w:val="FootnoteText"/>
    <w:rsid w:val="00186121"/>
    <w:rPr>
      <w:rFonts w:ascii="Arial" w:hAnsi="Arial" w:cs="Arial"/>
      <w:sz w:val="18"/>
      <w:szCs w:val="20"/>
    </w:rPr>
  </w:style>
  <w:style w:type="character" w:customStyle="1" w:styleId="Heading6Char">
    <w:name w:val="Heading 6 Char"/>
    <w:basedOn w:val="DefaultParagraphFont"/>
    <w:link w:val="Heading6"/>
    <w:uiPriority w:val="9"/>
    <w:rsid w:val="00EF2FEA"/>
    <w:rPr>
      <w:rFonts w:ascii="Arial" w:hAnsi="Arial" w:cs="Arial"/>
      <w:i/>
      <w:color w:val="243C75" w:themeColor="accent4" w:themeShade="80"/>
      <w:szCs w:val="24"/>
    </w:rPr>
  </w:style>
  <w:style w:type="numbering" w:customStyle="1" w:styleId="RA">
    <w:name w:val="RA"/>
    <w:uiPriority w:val="99"/>
    <w:rsid w:val="007739BE"/>
    <w:pPr>
      <w:numPr>
        <w:numId w:val="5"/>
      </w:numPr>
    </w:pPr>
  </w:style>
  <w:style w:type="paragraph" w:styleId="TOC1">
    <w:name w:val="toc 1"/>
    <w:basedOn w:val="Heading1"/>
    <w:next w:val="Normal"/>
    <w:uiPriority w:val="39"/>
    <w:unhideWhenUsed/>
    <w:qFormat/>
    <w:rsid w:val="00186121"/>
  </w:style>
  <w:style w:type="paragraph" w:styleId="TOC2">
    <w:name w:val="toc 2"/>
    <w:basedOn w:val="Heading2"/>
    <w:next w:val="Normal"/>
    <w:uiPriority w:val="39"/>
    <w:unhideWhenUsed/>
    <w:qFormat/>
    <w:rsid w:val="00186121"/>
    <w:pPr>
      <w:spacing w:after="200"/>
    </w:pPr>
  </w:style>
  <w:style w:type="paragraph" w:styleId="TOC3">
    <w:name w:val="toc 3"/>
    <w:basedOn w:val="Normal"/>
    <w:next w:val="Normal"/>
    <w:autoRedefine/>
    <w:uiPriority w:val="39"/>
    <w:unhideWhenUsed/>
    <w:qFormat/>
    <w:rsid w:val="00EF2FEA"/>
    <w:pPr>
      <w:spacing w:after="100"/>
      <w:ind w:left="440"/>
    </w:pPr>
    <w:rPr>
      <w:rFonts w:eastAsiaTheme="minorEastAsia" w:cstheme="minorBidi"/>
      <w:color w:val="auto"/>
      <w:szCs w:val="22"/>
      <w:lang w:val="en-US" w:eastAsia="ja-JP"/>
    </w:rPr>
  </w:style>
  <w:style w:type="character" w:styleId="Strong">
    <w:name w:val="Strong"/>
    <w:basedOn w:val="DefaultParagraphFont"/>
    <w:rsid w:val="00EF2FEA"/>
    <w:rPr>
      <w:b/>
      <w:bCs/>
    </w:rPr>
  </w:style>
  <w:style w:type="paragraph" w:styleId="TOCHeading">
    <w:name w:val="TOC Heading"/>
    <w:basedOn w:val="Heading1"/>
    <w:next w:val="Normal"/>
    <w:uiPriority w:val="39"/>
    <w:semiHidden/>
    <w:unhideWhenUsed/>
    <w:qFormat/>
    <w:rsid w:val="00EF2FEA"/>
    <w:pPr>
      <w:keepNext/>
      <w:keepLines/>
      <w:pBdr>
        <w:bottom w:val="none" w:sz="0" w:space="0" w:color="auto"/>
      </w:pBdr>
      <w:spacing w:before="480" w:after="0" w:line="276" w:lineRule="auto"/>
      <w:outlineLvl w:val="9"/>
    </w:pPr>
    <w:rPr>
      <w:rFonts w:asciiTheme="majorHAnsi" w:eastAsiaTheme="majorEastAsia" w:hAnsiTheme="majorHAnsi" w:cstheme="majorBidi"/>
      <w:bCs/>
      <w:color w:val="AE9638" w:themeColor="accent1" w:themeShade="BF"/>
      <w:lang w:val="en-US" w:eastAsia="ja-JP"/>
    </w:rPr>
  </w:style>
  <w:style w:type="character" w:styleId="PageNumber">
    <w:name w:val="page number"/>
    <w:basedOn w:val="DefaultParagraphFont"/>
    <w:rsid w:val="00EF2FEA"/>
  </w:style>
  <w:style w:type="paragraph" w:styleId="NormalWeb">
    <w:name w:val="Normal (Web)"/>
    <w:basedOn w:val="Normal"/>
    <w:rsid w:val="00EF2FEA"/>
    <w:pPr>
      <w:spacing w:before="100" w:beforeAutospacing="1" w:after="100" w:afterAutospacing="1"/>
    </w:pPr>
  </w:style>
  <w:style w:type="paragraph" w:styleId="BalloonText">
    <w:name w:val="Balloon Text"/>
    <w:basedOn w:val="Normal"/>
    <w:link w:val="BalloonTextChar"/>
    <w:rsid w:val="00EF2FEA"/>
    <w:rPr>
      <w:rFonts w:ascii="Tahoma" w:hAnsi="Tahoma" w:cs="Tahoma"/>
      <w:sz w:val="16"/>
      <w:szCs w:val="16"/>
    </w:rPr>
  </w:style>
  <w:style w:type="character" w:customStyle="1" w:styleId="BalloonTextChar">
    <w:name w:val="Balloon Text Char"/>
    <w:basedOn w:val="DefaultParagraphFont"/>
    <w:link w:val="BalloonText"/>
    <w:rsid w:val="00EF2FEA"/>
    <w:rPr>
      <w:rFonts w:ascii="Tahoma" w:hAnsi="Tahoma" w:cs="Tahoma"/>
      <w:color w:val="000000"/>
      <w:sz w:val="16"/>
      <w:szCs w:val="16"/>
    </w:rPr>
  </w:style>
  <w:style w:type="table" w:styleId="TableGrid">
    <w:name w:val="Table Grid"/>
    <w:basedOn w:val="TableNormal"/>
    <w:uiPriority w:val="39"/>
    <w:rsid w:val="00EF2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9304D"/>
    <w:pPr>
      <w:ind w:left="360"/>
    </w:pPr>
    <w:rPr>
      <w:i/>
      <w:iCs/>
      <w:color w:val="000000" w:themeColor="text1"/>
    </w:rPr>
  </w:style>
  <w:style w:type="character" w:customStyle="1" w:styleId="QuoteChar">
    <w:name w:val="Quote Char"/>
    <w:basedOn w:val="DefaultParagraphFont"/>
    <w:link w:val="Quote"/>
    <w:uiPriority w:val="29"/>
    <w:rsid w:val="0049304D"/>
    <w:rPr>
      <w:rFonts w:ascii="Arial" w:hAnsi="Arial" w:cs="Arial"/>
      <w:i/>
      <w:iCs/>
      <w:color w:val="000000" w:themeColor="text1"/>
      <w:szCs w:val="24"/>
    </w:rPr>
  </w:style>
  <w:style w:type="numbering" w:customStyle="1" w:styleId="RA1">
    <w:name w:val="RA1"/>
    <w:uiPriority w:val="99"/>
    <w:rsid w:val="000022C9"/>
  </w:style>
  <w:style w:type="character" w:styleId="Hyperlink">
    <w:name w:val="Hyperlink"/>
    <w:basedOn w:val="DefaultParagraphFont"/>
    <w:uiPriority w:val="99"/>
    <w:semiHidden/>
    <w:unhideWhenUsed/>
    <w:rsid w:val="005324A2"/>
    <w:rPr>
      <w:color w:val="0000FF"/>
      <w:u w:val="single"/>
    </w:rPr>
  </w:style>
  <w:style w:type="paragraph" w:styleId="PlainText">
    <w:name w:val="Plain Text"/>
    <w:basedOn w:val="Normal"/>
    <w:link w:val="PlainTextChar"/>
    <w:uiPriority w:val="99"/>
    <w:unhideWhenUsed/>
    <w:rsid w:val="009F3458"/>
    <w:pPr>
      <w:spacing w:after="0" w:line="240" w:lineRule="auto"/>
    </w:pPr>
    <w:rPr>
      <w:rFonts w:eastAsiaTheme="minorHAnsi"/>
      <w:color w:val="auto"/>
      <w:szCs w:val="22"/>
      <w:lang w:eastAsia="en-US"/>
    </w:rPr>
  </w:style>
  <w:style w:type="character" w:customStyle="1" w:styleId="PlainTextChar">
    <w:name w:val="Plain Text Char"/>
    <w:basedOn w:val="DefaultParagraphFont"/>
    <w:link w:val="PlainText"/>
    <w:uiPriority w:val="99"/>
    <w:rsid w:val="009F3458"/>
    <w:rPr>
      <w:rFonts w:ascii="Arial" w:eastAsiaTheme="minorHAnsi" w:hAnsi="Arial" w:cs="Arial"/>
      <w:lang w:eastAsia="en-US"/>
    </w:rPr>
  </w:style>
  <w:style w:type="character" w:styleId="FollowedHyperlink">
    <w:name w:val="FollowedHyperlink"/>
    <w:basedOn w:val="DefaultParagraphFont"/>
    <w:semiHidden/>
    <w:unhideWhenUsed/>
    <w:rsid w:val="004F15F9"/>
    <w:rPr>
      <w:color w:val="9329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5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3D26341A57B383EE0540010E0463CCA" version="1.0.0">
  <systemFields>
    <field name="Objective-Id">
      <value order="0">A34032964</value>
    </field>
    <field name="Objective-Title">
      <value order="0">210923 - AAB - 02. Note 210715</value>
    </field>
    <field name="Objective-Description">
      <value order="0"/>
    </field>
    <field name="Objective-CreationStamp">
      <value order="0">2021-07-15T16:00:22Z</value>
    </field>
    <field name="Objective-IsApproved">
      <value order="0">false</value>
    </field>
    <field name="Objective-IsPublished">
      <value order="0">false</value>
    </field>
    <field name="Objective-DatePublished">
      <value order="0"/>
    </field>
    <field name="Objective-ModificationStamp">
      <value order="0">2021-08-25T13:35:28Z</value>
    </field>
    <field name="Objective-Owner">
      <value order="0">Paterson, Fiona F (N300555)</value>
    </field>
    <field name="Objective-Path">
      <value order="0">Objective Global Folder:Scottish Public Services Ombudsman File Plan:Corporate Governance:Governance:Meetings:Governance meetings - 2021 - 2021-2023</value>
    </field>
    <field name="Objective-Parent">
      <value order="0">Governance meetings - 2021 - 2021-2023</value>
    </field>
    <field name="Objective-State">
      <value order="0">Being Edited</value>
    </field>
    <field name="Objective-VersionId">
      <value order="0">vA50537780</value>
    </field>
    <field name="Objective-Version">
      <value order="0">0.5</value>
    </field>
    <field name="Objective-VersionNumber">
      <value order="0">5</value>
    </field>
    <field name="Objective-VersionComment">
      <value order="0"/>
    </field>
    <field name="Objective-FileNumber">
      <value order="0">BUSPROC/8455</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B15D1CACB74D43B54B12BBAB2058C8" ma:contentTypeVersion="0" ma:contentTypeDescription="Create a new document." ma:contentTypeScope="" ma:versionID="57ec0cd52f382355128d09a7bd161b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231D4-AFA4-4AAD-9262-F904AC956E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AA44534F-8A69-42AF-8242-0E5EF8013949}">
  <ds:schemaRefs>
    <ds:schemaRef ds:uri="http://schemas.microsoft.com/sharepoint/v3/contenttype/forms"/>
  </ds:schemaRefs>
</ds:datastoreItem>
</file>

<file path=customXml/itemProps4.xml><?xml version="1.0" encoding="utf-8"?>
<ds:datastoreItem xmlns:ds="http://schemas.openxmlformats.org/officeDocument/2006/customXml" ds:itemID="{5D26F039-2278-4EC9-A682-AE22A754E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TEMPLATE Governance report</vt:lpstr>
    </vt:vector>
  </TitlesOfParts>
  <Company>Scottish Government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Governance report</dc:title>
  <dc:creator>RA</dc:creator>
  <cp:lastModifiedBy>Paterson F (Fiona) (SPSO)</cp:lastModifiedBy>
  <cp:revision>13</cp:revision>
  <cp:lastPrinted>2019-07-18T10:27:00Z</cp:lastPrinted>
  <dcterms:created xsi:type="dcterms:W3CDTF">2019-07-10T17:56:00Z</dcterms:created>
  <dcterms:modified xsi:type="dcterms:W3CDTF">2021-08-25T13:37:00Z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0x010100CBB15D1CACB74D43B54B12BBAB2058C8</vt:lpwstr>
  </property>
  <property fmtid="{D5CDD505-2E9C-101B-9397-08002B2CF9AE}" pid="3" name="Order">
    <vt:r8>460800</vt:r8>
  </property>
  <property fmtid="{D5CDD505-2E9C-101B-9397-08002B2CF9AE}" pid="4" name="Retention Period">
    <vt:lpwstr>7</vt:lpwstr>
  </property>
  <property fmtid="{D5CDD505-2E9C-101B-9397-08002B2CF9AE}" pid="5" name="Objective-Id">
    <vt:lpwstr>A34032964</vt:lpwstr>
  </property>
  <property fmtid="{D5CDD505-2E9C-101B-9397-08002B2CF9AE}" pid="6" name="Objective-Title">
    <vt:lpwstr>210923 - AAB - 02. Note 210715</vt:lpwstr>
  </property>
  <property fmtid="{D5CDD505-2E9C-101B-9397-08002B2CF9AE}" pid="7" name="Objective-Description">
    <vt:lpwstr/>
  </property>
  <property fmtid="{D5CDD505-2E9C-101B-9397-08002B2CF9AE}" pid="8" name="Objective-CreationStamp">
    <vt:filetime>2021-07-15T16:00:22Z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2021-08-25T13:35:28Z</vt:filetime>
  </property>
  <property fmtid="{D5CDD505-2E9C-101B-9397-08002B2CF9AE}" pid="13" name="Objective-Owner">
    <vt:lpwstr>Paterson, Fiona F (N300555)</vt:lpwstr>
  </property>
  <property fmtid="{D5CDD505-2E9C-101B-9397-08002B2CF9AE}" pid="14" name="Objective-Path">
    <vt:lpwstr>Objective Global Folder:Scottish Public Services Ombudsman File Plan:Corporate Governance:Governance:Meetings:Governance meetings - 2021 - 2021-2023</vt:lpwstr>
  </property>
  <property fmtid="{D5CDD505-2E9C-101B-9397-08002B2CF9AE}" pid="15" name="Objective-Parent">
    <vt:lpwstr>Governance meetings - 2021 - 2021-2023</vt:lpwstr>
  </property>
  <property fmtid="{D5CDD505-2E9C-101B-9397-08002B2CF9AE}" pid="16" name="Objective-State">
    <vt:lpwstr>Being Edited</vt:lpwstr>
  </property>
  <property fmtid="{D5CDD505-2E9C-101B-9397-08002B2CF9AE}" pid="17" name="Objective-VersionId">
    <vt:lpwstr>vA50537780</vt:lpwstr>
  </property>
  <property fmtid="{D5CDD505-2E9C-101B-9397-08002B2CF9AE}" pid="18" name="Objective-Version">
    <vt:lpwstr>0.5</vt:lpwstr>
  </property>
  <property fmtid="{D5CDD505-2E9C-101B-9397-08002B2CF9AE}" pid="19" name="Objective-VersionNumber">
    <vt:r8>5</vt:r8>
  </property>
  <property fmtid="{D5CDD505-2E9C-101B-9397-08002B2CF9AE}" pid="20" name="Objective-VersionComment">
    <vt:lpwstr/>
  </property>
  <property fmtid="{D5CDD505-2E9C-101B-9397-08002B2CF9AE}" pid="21" name="Objective-FileNumber">
    <vt:lpwstr>BUSPROC/8455</vt:lpwstr>
  </property>
  <property fmtid="{D5CDD505-2E9C-101B-9397-08002B2CF9AE}" pid="22" name="Objective-Classification">
    <vt:lpwstr>OFFICIAL</vt:lpwstr>
  </property>
  <property fmtid="{D5CDD505-2E9C-101B-9397-08002B2CF9AE}" pid="23" name="Objective-Caveats">
    <vt:lpwstr>Caveat for Scottish Public Services Ombudsman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ies>
</file>